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687FF" w14:textId="0C8D7DEB" w:rsidR="00D677C1" w:rsidRPr="00647D32" w:rsidRDefault="006949F0" w:rsidP="0013054C">
      <w:pPr>
        <w:pStyle w:val="Nagwek"/>
        <w:rPr>
          <w:rFonts w:ascii="Open Sans" w:eastAsia="Arial" w:hAnsi="Open Sans" w:cs="Open Sans"/>
          <w:bCs/>
          <w:color w:val="000000"/>
        </w:rPr>
      </w:pPr>
      <w:r w:rsidRPr="005D3E88">
        <w:rPr>
          <w:rFonts w:ascii="Open Sans" w:eastAsia="Arial" w:hAnsi="Open Sans" w:cs="Open Sans"/>
          <w:bCs/>
          <w:color w:val="000000"/>
        </w:rPr>
        <w:t xml:space="preserve">Załącznik </w:t>
      </w:r>
      <w:r w:rsidR="008125E7" w:rsidRPr="005D3E88">
        <w:rPr>
          <w:rFonts w:ascii="Open Sans" w:eastAsia="Arial" w:hAnsi="Open Sans" w:cs="Open Sans"/>
          <w:bCs/>
          <w:color w:val="000000"/>
        </w:rPr>
        <w:t>4</w:t>
      </w:r>
      <w:r w:rsidR="008B0FCA" w:rsidRPr="005D3E88">
        <w:rPr>
          <w:rFonts w:ascii="Open Sans" w:eastAsia="Arial" w:hAnsi="Open Sans" w:cs="Open Sans"/>
          <w:bCs/>
          <w:color w:val="000000"/>
        </w:rPr>
        <w:t xml:space="preserve"> do Wniosku o dofinansowanie</w:t>
      </w:r>
      <w:bookmarkStart w:id="0" w:name="_GoBack"/>
      <w:bookmarkEnd w:id="0"/>
      <w:r w:rsidR="008B0FCA" w:rsidRPr="00647D32">
        <w:rPr>
          <w:rFonts w:ascii="Open Sans" w:eastAsia="Arial" w:hAnsi="Open Sans" w:cs="Open Sans"/>
          <w:bCs/>
          <w:color w:val="000000"/>
        </w:rPr>
        <w:t xml:space="preserve"> </w:t>
      </w:r>
    </w:p>
    <w:p w14:paraId="7ADDA112" w14:textId="2B245E6A" w:rsidR="00094139" w:rsidRPr="00647D32" w:rsidRDefault="00DC271D" w:rsidP="00647D32">
      <w:pPr>
        <w:pStyle w:val="Nagwek"/>
        <w:spacing w:before="480" w:after="240"/>
        <w:jc w:val="center"/>
        <w:rPr>
          <w:rFonts w:ascii="Open Sans" w:hAnsi="Open Sans" w:cs="Open Sans"/>
          <w:sz w:val="28"/>
          <w:szCs w:val="28"/>
        </w:rPr>
      </w:pPr>
      <w:r w:rsidRPr="00647D32">
        <w:rPr>
          <w:rFonts w:ascii="Open Sans" w:eastAsia="Arial" w:hAnsi="Open Sans" w:cs="Open Sans"/>
          <w:b/>
          <w:color w:val="000000"/>
          <w:sz w:val="28"/>
          <w:szCs w:val="28"/>
        </w:rPr>
        <w:t xml:space="preserve">Zgodność projektu z regulacjami ochrony środowiska </w:t>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1"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w:tblPr>
      <w:tblGrid>
        <w:gridCol w:w="9067"/>
      </w:tblGrid>
      <w:tr w:rsidR="00DD1A42" w14:paraId="74ACF3B1" w14:textId="77777777" w:rsidTr="005F7340">
        <w:tc>
          <w:tcPr>
            <w:tcW w:w="9067" w:type="dxa"/>
          </w:tcPr>
          <w:bookmarkEnd w:id="1"/>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2BCDC7A0" w:rsidR="00DD1A42" w:rsidRPr="007C3DB1" w:rsidRDefault="00DD1A42" w:rsidP="007C3DB1">
            <w:pPr>
              <w:spacing w:line="360" w:lineRule="auto"/>
              <w:rPr>
                <w:rFonts w:ascii="Open Sans" w:hAnsi="Open Sans" w:cs="Open Sans"/>
                <w:b/>
                <w:b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49368244"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0701959"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2" w:name="_Hlt129763023"/>
        <w:bookmarkStart w:id="3" w:name="_Hlt129763024"/>
        <w:r w:rsidRPr="00647D32">
          <w:rPr>
            <w:rStyle w:val="Hipercze"/>
            <w:rFonts w:ascii="Open Sans" w:hAnsi="Open Sans" w:cs="Open Sans"/>
            <w:i/>
            <w:iCs/>
            <w:sz w:val="20"/>
            <w:szCs w:val="20"/>
          </w:rPr>
          <w:t>/</w:t>
        </w:r>
        <w:bookmarkEnd w:id="2"/>
        <w:bookmarkEnd w:id="3"/>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c z wymogami klimatycznymi"/>
        <w:tblDescription w:val="Nie dotyczy Typu projektu: FENX.01.05.8 Edukacja w zakresie ochrony przyrody"/>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23613202" w:rsidR="00DD1A42" w:rsidRPr="00647D32" w:rsidRDefault="004074AE" w:rsidP="00647D32">
            <w:pPr>
              <w:spacing w:after="0"/>
              <w:rPr>
                <w:rFonts w:ascii="Open Sans" w:hAnsi="Open Sans" w:cs="Open Sans"/>
                <w:i/>
                <w:iCs/>
                <w:color w:val="000000"/>
              </w:rPr>
            </w:pPr>
            <w:r w:rsidRPr="00647D32">
              <w:rPr>
                <w:rFonts w:ascii="Open Sans" w:hAnsi="Open Sans" w:cs="Open Sans"/>
                <w:i/>
                <w:iCs/>
                <w:color w:val="000000"/>
              </w:rPr>
              <w:t>Nie dotyczy Typu projektu: FENX.01.05.</w:t>
            </w:r>
            <w:r>
              <w:rPr>
                <w:rFonts w:ascii="Open Sans" w:hAnsi="Open Sans" w:cs="Open Sans"/>
                <w:i/>
                <w:iCs/>
                <w:color w:val="000000"/>
              </w:rPr>
              <w:t>8</w:t>
            </w:r>
            <w:r w:rsidRPr="00647D32">
              <w:rPr>
                <w:rFonts w:ascii="Open Sans" w:hAnsi="Open Sans" w:cs="Open Sans"/>
                <w:i/>
                <w:iCs/>
                <w:color w:val="000000"/>
              </w:rPr>
              <w:t xml:space="preserve"> </w:t>
            </w:r>
            <w:r w:rsidRPr="007C3DB1">
              <w:rPr>
                <w:rFonts w:ascii="Open Sans" w:hAnsi="Open Sans" w:cs="Open Sans"/>
              </w:rPr>
              <w:t>Edukacja w zakresie ochrony przyrody</w:t>
            </w:r>
            <w:r>
              <w:rPr>
                <w:rFonts w:ascii="Open Sans" w:hAnsi="Open Sans" w:cs="Open Sans"/>
              </w:rPr>
              <w:t>.</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3F11D7">
      <w:pPr>
        <w:numPr>
          <w:ilvl w:val="0"/>
          <w:numId w:val="34"/>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w:tblDescription w:val="pole opsiowe"/>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27C4C17A"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proofErr w:type="spellStart"/>
      <w:r w:rsidRPr="007A131A">
        <w:rPr>
          <w:rFonts w:ascii="Open Sans" w:hAnsi="Open Sans" w:cs="Open Sans"/>
          <w:color w:val="000000"/>
          <w:sz w:val="20"/>
          <w:szCs w:val="20"/>
        </w:rPr>
        <w:t>environmental</w:t>
      </w:r>
      <w:proofErr w:type="spellEnd"/>
      <w:r w:rsidRPr="007A131A">
        <w:rPr>
          <w:rFonts w:ascii="Open Sans" w:hAnsi="Open Sans" w:cs="Open Sans"/>
          <w:color w:val="000000"/>
          <w:sz w:val="20"/>
          <w:szCs w:val="20"/>
        </w:rPr>
        <w:t xml:space="preserve"> </w:t>
      </w:r>
      <w:proofErr w:type="spellStart"/>
      <w:r w:rsidRPr="007A131A">
        <w:rPr>
          <w:rFonts w:ascii="Open Sans" w:hAnsi="Open Sans" w:cs="Open Sans"/>
          <w:color w:val="000000"/>
          <w:sz w:val="20"/>
          <w:szCs w:val="20"/>
        </w:rPr>
        <w:t>footprint</w:t>
      </w:r>
      <w:proofErr w:type="spellEnd"/>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z zasadą DNSH"/>
        <w:tblDescription w:val="pole opisowe"/>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4"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4"/>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w:tblDescription w:val="pole opsiowe"/>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5" w:name="_Hlk113959498"/>
            <w:r w:rsidRPr="004C2491">
              <w:rPr>
                <w:rFonts w:ascii="Open Sans" w:hAnsi="Open Sans" w:cs="Open Sans"/>
                <w:iCs/>
                <w:color w:val="000000"/>
              </w:rPr>
              <w:t>Pole opisowe – max. 2500 znaków.</w:t>
            </w:r>
          </w:p>
          <w:p w14:paraId="06EC6BA4" w14:textId="78D269B0" w:rsidR="004F2FBB" w:rsidRPr="00FF745B" w:rsidRDefault="004074AE" w:rsidP="00647D32">
            <w:pPr>
              <w:tabs>
                <w:tab w:val="left" w:pos="0"/>
              </w:tabs>
              <w:spacing w:after="0"/>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5"/>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 xml:space="preserve">(Dz.U. z 2022 r. poz. 1029, z </w:t>
        </w:r>
        <w:proofErr w:type="spellStart"/>
        <w:r w:rsidRPr="00647D32">
          <w:rPr>
            <w:rStyle w:val="Hipercze"/>
            <w:rFonts w:ascii="Open Sans" w:eastAsia="Arial" w:hAnsi="Open Sans" w:cs="Open Sans"/>
            <w:b/>
            <w:bCs/>
            <w:color w:val="1F3864" w:themeColor="accent1" w:themeShade="80"/>
          </w:rPr>
          <w:t>późn</w:t>
        </w:r>
        <w:proofErr w:type="spellEnd"/>
        <w:r w:rsidRPr="00647D32">
          <w:rPr>
            <w:rStyle w:val="Hipercze"/>
            <w:rFonts w:ascii="Open Sans" w:eastAsia="Arial" w:hAnsi="Open Sans" w:cs="Open Sans"/>
            <w:b/>
            <w:bCs/>
            <w:color w:val="1F3864" w:themeColor="accent1" w:themeShade="80"/>
          </w:rPr>
          <w:t>.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sniku planu lub programu"/>
        <w:tblDescription w:val="pole opisowe"/>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3D6A7286" w:rsidR="00773D03" w:rsidRPr="00647D32" w:rsidRDefault="003F11D7" w:rsidP="00647D32">
      <w:pPr>
        <w:autoSpaceDE w:val="0"/>
        <w:autoSpaceDN w:val="0"/>
        <w:adjustRightInd w:val="0"/>
        <w:spacing w:after="60"/>
        <w:rPr>
          <w:rFonts w:ascii="Open Sans" w:hAnsi="Open Sans" w:cs="Open Sans"/>
          <w:iCs/>
          <w:color w:val="000000"/>
          <w:sz w:val="20"/>
          <w:szCs w:val="20"/>
        </w:rPr>
      </w:pPr>
      <w:r>
        <w:rPr>
          <w:rFonts w:ascii="Open Sans" w:hAnsi="Open Sans" w:cs="Open Sans"/>
          <w:iCs/>
          <w:color w:val="000000"/>
          <w:sz w:val="20"/>
          <w:szCs w:val="20"/>
        </w:rPr>
        <w:t>Jeśli zaznaczono „TAK</w:t>
      </w:r>
      <w:r w:rsidR="004A0A2A" w:rsidRPr="00647D32">
        <w:rPr>
          <w:rFonts w:ascii="Open Sans" w:hAnsi="Open Sans" w:cs="Open Sans"/>
          <w:iCs/>
          <w:color w:val="000000"/>
          <w:sz w:val="20"/>
          <w:szCs w:val="20"/>
        </w:rPr>
        <w:t>”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004A0A2A"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004A0A2A" w:rsidRPr="00647D32">
        <w:rPr>
          <w:rFonts w:ascii="Open Sans" w:hAnsi="Open Sans" w:cs="Open Sans"/>
          <w:iCs/>
          <w:color w:val="000000"/>
          <w:sz w:val="20"/>
          <w:szCs w:val="20"/>
        </w:rPr>
        <w:t>FEnIKS</w:t>
      </w:r>
      <w:proofErr w:type="spellEnd"/>
      <w:r w:rsidR="004A0A2A"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004A0A2A"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dany plan lub program podlegał strategicznej ocenie oddziaływania "/>
        <w:tblDescription w:val="nie dotyczy"/>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1116E8BC" w:rsidR="004F2FBB" w:rsidRPr="003F11D7" w:rsidRDefault="00440639" w:rsidP="00647D32">
            <w:pPr>
              <w:tabs>
                <w:tab w:val="left" w:pos="0"/>
              </w:tabs>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zawsze znacząco oddziaływać na środowisko "/>
        <w:tblDescription w:val="Nie dotyczy"/>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6" w:name="_Hlk149038639"/>
            <w:r w:rsidRPr="004C2491">
              <w:rPr>
                <w:rFonts w:ascii="Open Sans" w:hAnsi="Open Sans" w:cs="Open Sans"/>
                <w:iCs/>
                <w:color w:val="000000"/>
              </w:rPr>
              <w:t>Pole opisowe – max. 2500 znaków.</w:t>
            </w:r>
          </w:p>
          <w:p w14:paraId="75896212" w14:textId="78C30D2E" w:rsidR="004C2491" w:rsidRPr="003F11D7" w:rsidRDefault="00440639" w:rsidP="00647D32">
            <w:pPr>
              <w:tabs>
                <w:tab w:val="left" w:pos="0"/>
              </w:tabs>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bookmarkEnd w:id="6"/>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7"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7"/>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potencjalnie znacząco oddziaływać na środowisko"/>
        <w:tblDescription w:val="pole opisowe"/>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6B3C1D87" w:rsidR="004C2491" w:rsidRPr="003F11D7" w:rsidRDefault="00440639" w:rsidP="00647D32">
            <w:pPr>
              <w:tabs>
                <w:tab w:val="left" w:pos="0"/>
              </w:tabs>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
        <w:tblDescription w:val="pole opisowe"/>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8" w:name="_Hlk149038845"/>
            <w:r w:rsidRPr="004C2491">
              <w:rPr>
                <w:rFonts w:ascii="Open Sans" w:hAnsi="Open Sans" w:cs="Open Sans"/>
                <w:iCs/>
                <w:color w:val="000000"/>
              </w:rPr>
              <w:t>Pole opisowe – max. 2500 znaków.</w:t>
            </w:r>
          </w:p>
          <w:p w14:paraId="13BDB025" w14:textId="17D1E150" w:rsidR="004C2491" w:rsidRPr="003F11D7" w:rsidRDefault="00440639" w:rsidP="00647D32">
            <w:pPr>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bookmarkEnd w:id="8"/>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
        <w:tblDescription w:val="Pole opisowe"/>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303E8B50" w:rsidR="004C2491" w:rsidRPr="003F11D7" w:rsidRDefault="00160E10" w:rsidP="00647D32">
            <w:pPr>
              <w:tabs>
                <w:tab w:val="left" w:pos="0"/>
              </w:tabs>
              <w:spacing w:after="0"/>
              <w:ind w:left="37" w:hanging="37"/>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 xml:space="preserve">ustawy z dnia 7 lipca 1994 r. – Prawo budowlane (Dz. U. z 2021 r. poz. 2351,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Czy projekt może samodzielnie lub w połączeniu z innymi projektami znacząco negatywnie wpłynąć na obszary"/>
        <w:tblDescription w:val="pole opisowe"/>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62B0F33F" w:rsidR="004F2FBB" w:rsidRPr="00FF745B" w:rsidRDefault="00160E10" w:rsidP="00647D32">
            <w:pPr>
              <w:spacing w:after="0"/>
              <w:ind w:left="34"/>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Czy projekt obejmuje nowe zmiany charakterystyki fizycznej wód"/>
        <w:tblDescription w:val="nie dotyczy"/>
      </w:tblPr>
      <w:tblGrid>
        <w:gridCol w:w="9067"/>
      </w:tblGrid>
      <w:tr w:rsidR="004F2FBB" w14:paraId="2933F0F3" w14:textId="77777777" w:rsidTr="005F7340">
        <w:tc>
          <w:tcPr>
            <w:tcW w:w="9067" w:type="dxa"/>
          </w:tcPr>
          <w:p w14:paraId="73BF84BF" w14:textId="77777777" w:rsidR="004F2FBB" w:rsidRPr="004C2491" w:rsidRDefault="004F2FBB" w:rsidP="003F11D7">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3970AF8C" w:rsidR="004F2FBB" w:rsidRPr="003F11D7" w:rsidRDefault="00160E10" w:rsidP="003F11D7">
            <w:pPr>
              <w:tabs>
                <w:tab w:val="left" w:pos="0"/>
              </w:tabs>
              <w:spacing w:after="0"/>
              <w:ind w:left="295" w:hanging="295"/>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9"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 xml:space="preserve">(Dz. U. z 2021 r. poz. 2233, z </w:t>
      </w:r>
      <w:proofErr w:type="spellStart"/>
      <w:r w:rsidR="00555C5F" w:rsidRPr="00647D32">
        <w:rPr>
          <w:rFonts w:ascii="Open Sans" w:hAnsi="Open Sans" w:cs="Open Sans"/>
          <w:bCs/>
          <w:color w:val="000000"/>
          <w:sz w:val="20"/>
          <w:szCs w:val="20"/>
        </w:rPr>
        <w:t>późn</w:t>
      </w:r>
      <w:proofErr w:type="spellEnd"/>
      <w:r w:rsidR="00555C5F" w:rsidRPr="00647D32">
        <w:rPr>
          <w:rFonts w:ascii="Open Sans" w:hAnsi="Open Sans" w:cs="Open Sans"/>
          <w:bCs/>
          <w:color w:val="000000"/>
          <w:sz w:val="20"/>
          <w:szCs w:val="20"/>
        </w:rPr>
        <w:t>. zm.), zwanej dalej „Prawem wodnym”</w:t>
      </w:r>
      <w:bookmarkEnd w:id="9"/>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ależy wyjaśnić, w jaki sposób projekt pokrywa się z celami planu gospodarowania wodami w dorzeczu"/>
        <w:tblDescription w:val="nie dotyczy"/>
      </w:tblPr>
      <w:tblGrid>
        <w:gridCol w:w="9067"/>
      </w:tblGrid>
      <w:tr w:rsidR="004F2FBB" w14:paraId="57099CF0" w14:textId="77777777" w:rsidTr="005F7340">
        <w:tc>
          <w:tcPr>
            <w:tcW w:w="9067" w:type="dxa"/>
          </w:tcPr>
          <w:p w14:paraId="2202E33A" w14:textId="77777777" w:rsidR="004F2FBB" w:rsidRPr="004C2491" w:rsidRDefault="004F2FBB" w:rsidP="003F11D7">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330B6AC6" w:rsidR="004F2FBB" w:rsidRPr="00FF745B" w:rsidRDefault="00160E10" w:rsidP="003F11D7">
            <w:pPr>
              <w:tabs>
                <w:tab w:val="left" w:pos="0"/>
              </w:tabs>
              <w:spacing w:after="0"/>
              <w:ind w:left="295" w:hanging="295"/>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Stosowanie dyrektywy Rady 91/271/EWG"/>
        <w:tblDescription w:val="nie dotyczy"/>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5C2C14EF" w:rsidR="004F2FBB" w:rsidRPr="00FF745B" w:rsidRDefault="00160E10" w:rsidP="00647D32">
            <w:pPr>
              <w:tabs>
                <w:tab w:val="left" w:pos="0"/>
              </w:tabs>
              <w:spacing w:after="0"/>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1D7314B5" w14:textId="51D614CC" w:rsidR="00FF745B" w:rsidRPr="00FF745B" w:rsidRDefault="00B7007C" w:rsidP="00FF745B">
      <w:pPr>
        <w:keepNext/>
        <w:spacing w:after="0"/>
        <w:ind w:left="426" w:hanging="426"/>
        <w:rPr>
          <w:rFonts w:ascii="Open Sans" w:hAnsi="Open Sans" w:cs="Open Sans"/>
          <w:i/>
          <w:color w:val="000000"/>
          <w:sz w:val="20"/>
          <w:szCs w:val="20"/>
        </w:rPr>
      </w:pPr>
      <w:r w:rsidRPr="00FF745B">
        <w:rPr>
          <w:rFonts w:ascii="Open Sans" w:hAnsi="Open Sans" w:cs="Open Sans"/>
          <w:color w:val="000000"/>
          <w:sz w:val="20"/>
          <w:szCs w:val="20"/>
        </w:rPr>
        <w:t xml:space="preserve">4.1. </w:t>
      </w:r>
      <w:r w:rsidR="006C6055" w:rsidRPr="00FF745B">
        <w:rPr>
          <w:rFonts w:ascii="Open Sans" w:hAnsi="Open Sans" w:cs="Open Sans"/>
          <w:color w:val="000000"/>
          <w:sz w:val="20"/>
          <w:szCs w:val="20"/>
        </w:rPr>
        <w:t>Deklaracja organu odpowiedzialnego za monitorowanie obszarów Natura 2000</w:t>
      </w:r>
      <w:r w:rsidR="00A644FE" w:rsidRPr="00FF745B">
        <w:rPr>
          <w:rFonts w:ascii="Open Sans" w:hAnsi="Open Sans" w:cs="Open Sans"/>
          <w:color w:val="000000"/>
          <w:sz w:val="20"/>
          <w:szCs w:val="20"/>
        </w:rPr>
        <w:t xml:space="preserve"> </w:t>
      </w:r>
      <w:r w:rsidR="00FF745B" w:rsidRPr="00FF745B">
        <w:rPr>
          <w:rFonts w:ascii="Open Sans" w:hAnsi="Open Sans" w:cs="Open Sans"/>
          <w:color w:val="000000"/>
          <w:sz w:val="20"/>
          <w:szCs w:val="20"/>
        </w:rPr>
        <w:t>-</w:t>
      </w:r>
      <w:r w:rsidR="00632BAA" w:rsidRPr="00FF745B">
        <w:rPr>
          <w:rFonts w:ascii="Open Sans" w:hAnsi="Open Sans" w:cs="Open Sans"/>
          <w:i/>
          <w:color w:val="000000"/>
          <w:sz w:val="20"/>
          <w:szCs w:val="20"/>
        </w:rPr>
        <w:t xml:space="preserve"> </w:t>
      </w:r>
      <w:r w:rsidR="00D50038" w:rsidRPr="00FF745B">
        <w:rPr>
          <w:rFonts w:ascii="Open Sans" w:hAnsi="Open Sans" w:cs="Open Sans"/>
          <w:i/>
          <w:color w:val="000000"/>
          <w:sz w:val="20"/>
          <w:szCs w:val="20"/>
        </w:rPr>
        <w:t xml:space="preserve"> </w:t>
      </w:r>
    </w:p>
    <w:p w14:paraId="6A0CAEDC" w14:textId="7F586555" w:rsidR="006C6055" w:rsidRPr="003F11D7" w:rsidRDefault="00FF745B" w:rsidP="00FF745B">
      <w:pPr>
        <w:keepNext/>
        <w:spacing w:after="0"/>
        <w:ind w:left="426" w:hanging="426"/>
        <w:rPr>
          <w:rFonts w:ascii="Open Sans" w:hAnsi="Open Sans" w:cs="Open Sans"/>
          <w:i/>
          <w:iCs/>
          <w:color w:val="000000"/>
          <w:sz w:val="20"/>
          <w:szCs w:val="20"/>
        </w:rPr>
      </w:pPr>
      <w:r w:rsidRPr="003F11D7">
        <w:rPr>
          <w:rFonts w:ascii="Open Sans" w:hAnsi="Open Sans" w:cs="Open Sans"/>
          <w:i/>
          <w:iCs/>
          <w:color w:val="000000"/>
          <w:sz w:val="20"/>
          <w:szCs w:val="20"/>
        </w:rPr>
        <w:t xml:space="preserve">- </w:t>
      </w:r>
      <w:r w:rsidR="00D90478" w:rsidRPr="003F11D7">
        <w:rPr>
          <w:rFonts w:ascii="Open Sans" w:hAnsi="Open Sans" w:cs="Open Sans"/>
          <w:i/>
          <w:iCs/>
          <w:color w:val="000000"/>
          <w:sz w:val="20"/>
          <w:szCs w:val="20"/>
        </w:rPr>
        <w:t xml:space="preserve">Nie dotyczy Typu projektu: FENX.01.05.8 </w:t>
      </w:r>
      <w:r w:rsidR="00D90478" w:rsidRPr="003F11D7">
        <w:rPr>
          <w:rFonts w:ascii="Open Sans" w:hAnsi="Open Sans" w:cs="Open Sans"/>
          <w:i/>
          <w:iCs/>
          <w:sz w:val="20"/>
          <w:szCs w:val="20"/>
        </w:rPr>
        <w:t>Edukacja w zakresie ochrony przyrody</w:t>
      </w:r>
      <w:r w:rsidR="00A644FE" w:rsidRPr="003F11D7">
        <w:rPr>
          <w:rFonts w:ascii="Open Sans" w:hAnsi="Open Sans" w:cs="Open Sans"/>
          <w:i/>
          <w:iCs/>
          <w:color w:val="000000"/>
          <w:sz w:val="20"/>
          <w:szCs w:val="20"/>
        </w:rPr>
        <w:t>.</w:t>
      </w:r>
    </w:p>
    <w:p w14:paraId="09BFE299" w14:textId="1CE8A696" w:rsidR="00FF745B" w:rsidRPr="00FF745B" w:rsidRDefault="00B7007C" w:rsidP="00FF745B">
      <w:pPr>
        <w:keepNext/>
        <w:spacing w:after="0"/>
        <w:rPr>
          <w:rFonts w:ascii="Open Sans" w:hAnsi="Open Sans" w:cs="Open Sans"/>
          <w:color w:val="000000"/>
          <w:sz w:val="20"/>
          <w:szCs w:val="20"/>
        </w:rPr>
      </w:pPr>
      <w:r w:rsidRPr="00FF745B">
        <w:rPr>
          <w:rFonts w:ascii="Open Sans" w:hAnsi="Open Sans" w:cs="Open Sans"/>
          <w:color w:val="000000"/>
          <w:sz w:val="20"/>
          <w:szCs w:val="20"/>
        </w:rPr>
        <w:t xml:space="preserve">4.2. </w:t>
      </w:r>
      <w:r w:rsidR="006C6055" w:rsidRPr="00FF745B">
        <w:rPr>
          <w:rFonts w:ascii="Open Sans" w:hAnsi="Open Sans" w:cs="Open Sans"/>
          <w:color w:val="000000"/>
          <w:sz w:val="20"/>
          <w:szCs w:val="20"/>
        </w:rPr>
        <w:t>Deklaracja właściwego organu odpowiedzialnego za gospodarkę wodną</w:t>
      </w:r>
      <w:r w:rsidR="00FF745B" w:rsidRPr="00FF745B">
        <w:rPr>
          <w:rFonts w:ascii="Open Sans" w:hAnsi="Open Sans" w:cs="Open Sans"/>
          <w:color w:val="000000"/>
          <w:sz w:val="20"/>
          <w:szCs w:val="20"/>
        </w:rPr>
        <w:t xml:space="preserve"> -</w:t>
      </w:r>
      <w:r w:rsidR="00D90478" w:rsidRPr="00FF745B">
        <w:rPr>
          <w:rFonts w:ascii="Open Sans" w:hAnsi="Open Sans" w:cs="Open Sans"/>
          <w:color w:val="000000"/>
          <w:sz w:val="20"/>
          <w:szCs w:val="20"/>
        </w:rPr>
        <w:t xml:space="preserve"> </w:t>
      </w:r>
    </w:p>
    <w:p w14:paraId="039D16C0" w14:textId="244B7F1E" w:rsidR="006C6055" w:rsidRPr="003F11D7" w:rsidRDefault="00D90478" w:rsidP="00FF745B">
      <w:pPr>
        <w:keepNext/>
        <w:spacing w:after="0"/>
        <w:rPr>
          <w:rFonts w:ascii="Open Sans" w:hAnsi="Open Sans" w:cs="Open Sans"/>
          <w:i/>
          <w:color w:val="000000"/>
          <w:sz w:val="20"/>
          <w:szCs w:val="20"/>
        </w:rPr>
      </w:pPr>
      <w:r w:rsidRPr="003F11D7">
        <w:rPr>
          <w:rFonts w:ascii="Open Sans" w:hAnsi="Open Sans" w:cs="Open Sans"/>
          <w:i/>
          <w:color w:val="000000"/>
          <w:sz w:val="20"/>
          <w:szCs w:val="20"/>
        </w:rPr>
        <w:t xml:space="preserve">- Nie dotyczy Typu projektu: FENX.01.05.8 </w:t>
      </w:r>
      <w:r w:rsidRPr="003F11D7">
        <w:rPr>
          <w:rFonts w:ascii="Open Sans" w:hAnsi="Open Sans" w:cs="Open Sans"/>
          <w:i/>
          <w:sz w:val="20"/>
          <w:szCs w:val="20"/>
        </w:rPr>
        <w:t>Edukacja w zakresie ochrony przyrody</w:t>
      </w:r>
      <w:r w:rsidR="00FF745B" w:rsidRPr="003F11D7">
        <w:rPr>
          <w:rFonts w:ascii="Open Sans" w:hAnsi="Open Sans" w:cs="Open Sans"/>
          <w:i/>
          <w:sz w:val="20"/>
          <w:szCs w:val="20"/>
        </w:rPr>
        <w:t>.</w:t>
      </w:r>
    </w:p>
    <w:sectPr w:rsidR="006C6055" w:rsidRPr="003F11D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EE"/>
    <w:family w:val="auto"/>
    <w:pitch w:val="variable"/>
    <w:sig w:usb0="00000001" w:usb1="4000201B" w:usb2="00000028" w:usb3="00000000" w:csb0="0000019F" w:csb1="00000000"/>
  </w:font>
  <w:font w:name="Open Sans Light">
    <w:altName w:val="Times New Roman"/>
    <w:charset w:val="EE"/>
    <w:family w:val="auto"/>
    <w:pitch w:val="variable"/>
    <w:sig w:usb0="00000001"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4211862"/>
      <w:docPartObj>
        <w:docPartGallery w:val="Page Numbers (Bottom of Page)"/>
        <w:docPartUnique/>
      </w:docPartObj>
    </w:sdtPr>
    <w:sdtEndPr>
      <w:rPr>
        <w:color w:val="7F7F7F" w:themeColor="background1" w:themeShade="7F"/>
        <w:spacing w:val="60"/>
      </w:rPr>
    </w:sdtEndPr>
    <w:sdtContent>
      <w:p w14:paraId="4D9A4692" w14:textId="73B7A45A"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5D3E88">
          <w:rPr>
            <w:b/>
            <w:bCs/>
            <w:noProof/>
          </w:rPr>
          <w:t>13</w:t>
        </w:r>
        <w:r>
          <w:rPr>
            <w:b/>
            <w:bCs/>
          </w:rPr>
          <w:fldChar w:fldCharType="end"/>
        </w:r>
        <w:r>
          <w:t xml:space="preserve"> z </w:t>
        </w:r>
        <w:r>
          <w:rPr>
            <w:b/>
            <w:bCs/>
          </w:rPr>
          <w:fldChar w:fldCharType="begin"/>
        </w:r>
        <w:r>
          <w:rPr>
            <w:b/>
            <w:bCs/>
          </w:rPr>
          <w:instrText>NUMPAGES  \* Arabic  \* MERGEFORMAT</w:instrText>
        </w:r>
        <w:r>
          <w:rPr>
            <w:b/>
            <w:bCs/>
          </w:rPr>
          <w:fldChar w:fldCharType="separate"/>
        </w:r>
        <w:r w:rsidR="005D3E88">
          <w:rPr>
            <w:b/>
            <w:bCs/>
            <w:noProof/>
          </w:rPr>
          <w:t>13</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5"/>
  </w:num>
  <w:num w:numId="3">
    <w:abstractNumId w:val="15"/>
  </w:num>
  <w:num w:numId="4">
    <w:abstractNumId w:val="35"/>
  </w:num>
  <w:num w:numId="5">
    <w:abstractNumId w:val="24"/>
  </w:num>
  <w:num w:numId="6">
    <w:abstractNumId w:val="20"/>
  </w:num>
  <w:num w:numId="7">
    <w:abstractNumId w:val="19"/>
  </w:num>
  <w:num w:numId="8">
    <w:abstractNumId w:val="3"/>
  </w:num>
  <w:num w:numId="9">
    <w:abstractNumId w:val="36"/>
  </w:num>
  <w:num w:numId="10">
    <w:abstractNumId w:val="14"/>
  </w:num>
  <w:num w:numId="11">
    <w:abstractNumId w:val="8"/>
  </w:num>
  <w:num w:numId="12">
    <w:abstractNumId w:val="17"/>
  </w:num>
  <w:num w:numId="13">
    <w:abstractNumId w:val="7"/>
  </w:num>
  <w:num w:numId="14">
    <w:abstractNumId w:val="37"/>
  </w:num>
  <w:num w:numId="15">
    <w:abstractNumId w:val="1"/>
  </w:num>
  <w:num w:numId="16">
    <w:abstractNumId w:val="22"/>
  </w:num>
  <w:num w:numId="17">
    <w:abstractNumId w:val="34"/>
  </w:num>
  <w:num w:numId="18">
    <w:abstractNumId w:val="39"/>
  </w:num>
  <w:num w:numId="19">
    <w:abstractNumId w:val="12"/>
  </w:num>
  <w:num w:numId="20">
    <w:abstractNumId w:val="16"/>
  </w:num>
  <w:num w:numId="21">
    <w:abstractNumId w:val="42"/>
  </w:num>
  <w:num w:numId="22">
    <w:abstractNumId w:val="28"/>
  </w:num>
  <w:num w:numId="23">
    <w:abstractNumId w:val="31"/>
  </w:num>
  <w:num w:numId="24">
    <w:abstractNumId w:val="2"/>
  </w:num>
  <w:num w:numId="25">
    <w:abstractNumId w:val="33"/>
  </w:num>
  <w:num w:numId="26">
    <w:abstractNumId w:val="38"/>
  </w:num>
  <w:num w:numId="27">
    <w:abstractNumId w:val="11"/>
  </w:num>
  <w:num w:numId="28">
    <w:abstractNumId w:val="4"/>
  </w:num>
  <w:num w:numId="29">
    <w:abstractNumId w:val="13"/>
  </w:num>
  <w:num w:numId="30">
    <w:abstractNumId w:val="41"/>
  </w:num>
  <w:num w:numId="31">
    <w:abstractNumId w:val="29"/>
  </w:num>
  <w:num w:numId="32">
    <w:abstractNumId w:val="23"/>
  </w:num>
  <w:num w:numId="33">
    <w:abstractNumId w:val="5"/>
  </w:num>
  <w:num w:numId="34">
    <w:abstractNumId w:val="27"/>
  </w:num>
  <w:num w:numId="35">
    <w:abstractNumId w:val="0"/>
  </w:num>
  <w:num w:numId="36">
    <w:abstractNumId w:val="9"/>
  </w:num>
  <w:num w:numId="37">
    <w:abstractNumId w:val="21"/>
  </w:num>
  <w:num w:numId="38">
    <w:abstractNumId w:val="6"/>
  </w:num>
  <w:num w:numId="39">
    <w:abstractNumId w:val="40"/>
  </w:num>
  <w:num w:numId="40">
    <w:abstractNumId w:val="26"/>
  </w:num>
  <w:num w:numId="41">
    <w:abstractNumId w:val="10"/>
  </w:num>
  <w:num w:numId="42">
    <w:abstractNumId w:val="32"/>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3A90"/>
    <w:rsid w:val="0011402F"/>
    <w:rsid w:val="0013054C"/>
    <w:rsid w:val="00133213"/>
    <w:rsid w:val="00140A97"/>
    <w:rsid w:val="00145792"/>
    <w:rsid w:val="00147842"/>
    <w:rsid w:val="00160E10"/>
    <w:rsid w:val="001610CD"/>
    <w:rsid w:val="001625E7"/>
    <w:rsid w:val="00165E45"/>
    <w:rsid w:val="0016642D"/>
    <w:rsid w:val="001717F5"/>
    <w:rsid w:val="00185245"/>
    <w:rsid w:val="00197AC0"/>
    <w:rsid w:val="001A2C53"/>
    <w:rsid w:val="001B643D"/>
    <w:rsid w:val="001B66FC"/>
    <w:rsid w:val="001E059E"/>
    <w:rsid w:val="001E6E32"/>
    <w:rsid w:val="00204D7C"/>
    <w:rsid w:val="00206CA3"/>
    <w:rsid w:val="00220245"/>
    <w:rsid w:val="00225777"/>
    <w:rsid w:val="002468A1"/>
    <w:rsid w:val="00246CD6"/>
    <w:rsid w:val="00262F9D"/>
    <w:rsid w:val="002735D3"/>
    <w:rsid w:val="00282992"/>
    <w:rsid w:val="002907DE"/>
    <w:rsid w:val="002B364A"/>
    <w:rsid w:val="002D08F6"/>
    <w:rsid w:val="002E6E73"/>
    <w:rsid w:val="00303752"/>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1D7"/>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07BBF"/>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3E88"/>
    <w:rsid w:val="005D43AF"/>
    <w:rsid w:val="005E3816"/>
    <w:rsid w:val="005E397F"/>
    <w:rsid w:val="005F2269"/>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3DB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B06D2"/>
    <w:rsid w:val="008B0FCA"/>
    <w:rsid w:val="008B227D"/>
    <w:rsid w:val="008B421A"/>
    <w:rsid w:val="008D1DA6"/>
    <w:rsid w:val="008D2A2E"/>
    <w:rsid w:val="009010B2"/>
    <w:rsid w:val="009020CF"/>
    <w:rsid w:val="00903D54"/>
    <w:rsid w:val="0093649C"/>
    <w:rsid w:val="0094584C"/>
    <w:rsid w:val="009523C4"/>
    <w:rsid w:val="0097135E"/>
    <w:rsid w:val="009928F4"/>
    <w:rsid w:val="009A712D"/>
    <w:rsid w:val="009B092A"/>
    <w:rsid w:val="009B60BE"/>
    <w:rsid w:val="009B756C"/>
    <w:rsid w:val="009D3368"/>
    <w:rsid w:val="009D60F2"/>
    <w:rsid w:val="009E26B0"/>
    <w:rsid w:val="009E3E16"/>
    <w:rsid w:val="009F3897"/>
    <w:rsid w:val="00A23C1F"/>
    <w:rsid w:val="00A2473D"/>
    <w:rsid w:val="00A26D47"/>
    <w:rsid w:val="00A27B3B"/>
    <w:rsid w:val="00A55941"/>
    <w:rsid w:val="00A64058"/>
    <w:rsid w:val="00A644FE"/>
    <w:rsid w:val="00A64556"/>
    <w:rsid w:val="00A706DB"/>
    <w:rsid w:val="00A70ED5"/>
    <w:rsid w:val="00A74DAC"/>
    <w:rsid w:val="00A97145"/>
    <w:rsid w:val="00AA416D"/>
    <w:rsid w:val="00AA568D"/>
    <w:rsid w:val="00AB6E1E"/>
    <w:rsid w:val="00AC05C9"/>
    <w:rsid w:val="00AE3357"/>
    <w:rsid w:val="00AF196C"/>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BE3"/>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61901"/>
    <w:rsid w:val="00D640B0"/>
    <w:rsid w:val="00D6665E"/>
    <w:rsid w:val="00D677C1"/>
    <w:rsid w:val="00D71779"/>
    <w:rsid w:val="00D80B8B"/>
    <w:rsid w:val="00D90478"/>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70E9"/>
    <w:rsid w:val="00EF13B5"/>
    <w:rsid w:val="00EF21A4"/>
    <w:rsid w:val="00EF2D34"/>
    <w:rsid w:val="00EF75A3"/>
    <w:rsid w:val="00F0228F"/>
    <w:rsid w:val="00F1097B"/>
    <w:rsid w:val="00F1638C"/>
    <w:rsid w:val="00F47D94"/>
    <w:rsid w:val="00F50E0A"/>
    <w:rsid w:val="00F5107E"/>
    <w:rsid w:val="00F512F8"/>
    <w:rsid w:val="00F62738"/>
    <w:rsid w:val="00F74475"/>
    <w:rsid w:val="00F758D3"/>
    <w:rsid w:val="00F77D9F"/>
    <w:rsid w:val="00F83316"/>
    <w:rsid w:val="00F86ABE"/>
    <w:rsid w:val="00F959EC"/>
    <w:rsid w:val="00F9688C"/>
    <w:rsid w:val="00FC3906"/>
    <w:rsid w:val="00FD7AD4"/>
    <w:rsid w:val="00FE1911"/>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7B976-29BB-4FD7-84E0-505A5927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4953</Words>
  <Characters>29718</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34602</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Zaczek Katarzyna</cp:lastModifiedBy>
  <cp:revision>3</cp:revision>
  <dcterms:created xsi:type="dcterms:W3CDTF">2024-04-04T13:02:00Z</dcterms:created>
  <dcterms:modified xsi:type="dcterms:W3CDTF">2024-04-04T18:20:00Z</dcterms:modified>
</cp:coreProperties>
</file>